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Layout w:type="fixed"/>
        <w:tblLook w:val="0400"/>
      </w:tblPr>
      <w:tblGrid>
        <w:gridCol w:w="2928"/>
        <w:gridCol w:w="5386"/>
        <w:tblGridChange w:id="0">
          <w:tblGrid>
            <w:gridCol w:w="2928"/>
            <w:gridCol w:w="5386"/>
          </w:tblGrid>
        </w:tblGridChange>
      </w:tblGrid>
      <w:t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competitions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when identified as part of the final bidder list. Failure to bid on further competitions without an acceptable reason may result in the Supplier being suspended from the Framework, in accordance with Clause 11.7 (Partially ending and suspending the contract), for a period as decided by CCS. </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rPr>
          <w:rtl w:val="0"/>
        </w:rPr>
      </w:r>
    </w:p>
    <w:p w:rsidR="00000000" w:rsidDel="00000000" w:rsidP="00000000" w:rsidRDefault="00000000" w:rsidRPr="00000000" w14:paraId="00000024">
      <w:pPr>
        <w:keepNext w:val="1"/>
        <w:tabs>
          <w:tab w:val="left" w:pos="1134"/>
        </w:tabs>
        <w:spacing w:after="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bl>
      <w:tblPr>
        <w:tblStyle w:val="Table2"/>
        <w:tblW w:w="88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35"/>
        <w:gridCol w:w="1515"/>
        <w:gridCol w:w="3330"/>
        <w:tblGridChange w:id="0">
          <w:tblGrid>
            <w:gridCol w:w="4035"/>
            <w:gridCol w:w="1515"/>
            <w:gridCol w:w="3330"/>
          </w:tblGrid>
        </w:tblGridChange>
      </w:tblGrid>
      <w:tr>
        <w:trPr>
          <w:trHeight w:val="975" w:hRule="atLeast"/>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25">
            <w:pPr>
              <w:keepNext w:val="1"/>
              <w:tabs>
                <w:tab w:val="left" w:pos="1134"/>
              </w:tabs>
              <w:spacing w:after="240" w:before="240" w:line="276" w:lineRule="auto"/>
              <w:ind w:left="6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26">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27">
            <w:pPr>
              <w:keepNext w:val="1"/>
              <w:tabs>
                <w:tab w:val="left" w:pos="1134"/>
              </w:tabs>
              <w:spacing w:after="240" w:before="240" w:line="276" w:lineRule="auto"/>
              <w:ind w:left="6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trHeight w:val="735" w:hRule="atLeast"/>
        </w:trPr>
        <w:tc>
          <w:tcPr>
            <w:gridSpan w:val="3"/>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8">
            <w:pPr>
              <w:keepNext w:val="1"/>
              <w:tabs>
                <w:tab w:val="left" w:pos="1134"/>
              </w:tabs>
              <w:spacing w:after="120" w:before="12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FRAMEWORK MANAGEMENT</w:t>
            </w:r>
          </w:p>
        </w:tc>
      </w:tr>
      <w:tr>
        <w:trPr>
          <w:trHeight w:val="29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keepNext w:val="1"/>
              <w:tabs>
                <w:tab w:val="left" w:pos="1134"/>
              </w:tabs>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w:t>
            </w:r>
            <w:r w:rsidDel="00000000" w:rsidR="00000000" w:rsidRPr="00000000">
              <w:rPr>
                <w:rFonts w:ascii="Arial" w:cs="Arial" w:eastAsia="Arial" w:hAnsi="Arial"/>
                <w:sz w:val="24"/>
                <w:szCs w:val="24"/>
                <w:rtl w:val="0"/>
              </w:rPr>
              <w:t xml:space="preserve"> MI returns: All accurate MI returns to be returned to CCS by the 5</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Working Day of each month.</w:t>
            </w: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data warehouse (MISO) system).</w:t>
            </w:r>
          </w:p>
        </w:tc>
      </w:tr>
      <w:tr>
        <w:trPr>
          <w:trHeight w:val="265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1.2 All undisputed invoices to be paid within 30 calendar days of issue.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CODA system).</w:t>
            </w:r>
          </w:p>
        </w:tc>
      </w:tr>
      <w:tr>
        <w:trPr>
          <w:trHeight w:val="181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1.3 Supplier self-audit certificate to be issued to the Authority in accordance with the Framework Agreement.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trHeight w:val="23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 Actions identified in an Audit Report to be delivered by the dates set out in the Audit Report.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completion of the actions by the dates identified in the Audit Report.</w:t>
            </w:r>
          </w:p>
        </w:tc>
      </w:tr>
      <w:tr>
        <w:trPr>
          <w:trHeight w:val="196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1.5 Supplier to make payments to all sub-contracted Providers in line with the agreed payment terms.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keepNext w:val="1"/>
              <w:tabs>
                <w:tab w:val="left" w:pos="1134"/>
              </w:tabs>
              <w:spacing w:after="240" w:before="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A">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 provided in the monthly performance report submitted to the Authority.</w:t>
            </w:r>
          </w:p>
        </w:tc>
      </w:tr>
      <w:tr>
        <w:trPr>
          <w:trHeight w:val="147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1.6 Technology Systems availability 99.99%.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keepNext w:val="1"/>
              <w:tabs>
                <w:tab w:val="left" w:pos="1134"/>
              </w:tabs>
              <w:spacing w:after="240" w:before="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E">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Notification from Supplier of any non-availability.</w:t>
            </w:r>
          </w:p>
        </w:tc>
      </w:tr>
      <w:tr>
        <w:trPr>
          <w:trHeight w:val="147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1.7 </w:t>
            </w:r>
            <w:r w:rsidDel="00000000" w:rsidR="00000000" w:rsidRPr="00000000">
              <w:rPr>
                <w:rFonts w:ascii="Arial" w:cs="Arial" w:eastAsia="Arial" w:hAnsi="Arial"/>
                <w:sz w:val="24"/>
                <w:szCs w:val="24"/>
                <w:rtl w:val="0"/>
              </w:rPr>
              <w:t xml:space="preserve">Social Value: Supplier to provide an annual Social Value delivery statement</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keepNext w:val="1"/>
              <w:tabs>
                <w:tab w:val="left" w:pos="1134"/>
              </w:tabs>
              <w:spacing w:after="240" w:before="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Yearly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trHeight w:val="975" w:hRule="atLeast"/>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  OPERATIONAL EFFICIENCY / DEMAND MANAGEMENT SAVINGS</w:t>
            </w:r>
          </w:p>
        </w:tc>
      </w:tr>
      <w:tr>
        <w:trPr>
          <w:trHeight w:val="265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2.1 The Supplier to deliver against the Supplier Action Plan to derive further cost savings over the Framework Period via Continuous Improvement Plans and an Innovation Roadmap.</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keepNext w:val="1"/>
              <w:tabs>
                <w:tab w:val="left" w:pos="1134"/>
              </w:tabs>
              <w:spacing w:after="240" w:before="240" w:line="276"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100% </w:t>
            </w:r>
            <w:r w:rsidDel="00000000" w:rsidR="00000000" w:rsidRPr="00000000">
              <w:rPr>
                <w:rFonts w:ascii="Arial" w:cs="Arial" w:eastAsia="Arial" w:hAnsi="Arial"/>
                <w:sz w:val="24"/>
                <w:szCs w:val="24"/>
                <w:rtl w:val="0"/>
              </w:rPr>
              <w:t xml:space="preserve">where the supplier has control of the action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cost savings achieved by the date(s) identified in the Supplier Action Plan(s).</w:t>
            </w:r>
          </w:p>
        </w:tc>
      </w:tr>
      <w:tr>
        <w:trPr>
          <w:trHeight w:val="975" w:hRule="atLeast"/>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CUSTOMER SATISFACTION</w:t>
            </w:r>
          </w:p>
        </w:tc>
      </w:tr>
      <w:tr>
        <w:trPr>
          <w:trHeight w:val="265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 Services to be provided under Call Off Contracts to the satisfaction of Contracting Authorities.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98%</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customer satisfaction surveys.</w:t>
            </w:r>
          </w:p>
        </w:tc>
      </w:tr>
      <w:tr>
        <w:trPr>
          <w:trHeight w:val="196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3.2 Less than 10 complaints received in 1 month, with all complaints acknowledged within 24 hours and action to resolve complaints agreed within 5 Working Days.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keepNext w:val="1"/>
              <w:tabs>
                <w:tab w:val="left" w:pos="1134"/>
              </w:tabs>
              <w:spacing w:after="240" w:before="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1">
            <w:pPr>
              <w:keepNext w:val="1"/>
              <w:tabs>
                <w:tab w:val="left" w:pos="1134"/>
              </w:tabs>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Evidence provided in the monthly performance report submitted to the Authority.</w:t>
            </w:r>
          </w:p>
        </w:tc>
      </w:tr>
      <w:tr>
        <w:trPr>
          <w:trHeight w:val="780" w:hRule="atLeast"/>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COLLABORATIVE APPROACH TO RELATIONSHIP MANAGEMENT AND NEW BUSINESS</w:t>
            </w:r>
          </w:p>
        </w:tc>
      </w:tr>
      <w:tr>
        <w:trPr>
          <w:trHeight w:val="29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keepNext w:val="1"/>
              <w:tabs>
                <w:tab w:val="left" w:pos="1134"/>
              </w:tabs>
              <w:spacing w:after="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6">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will bring market intelligence, and where possible, new Contracting Authority requirements, to the CCS framework.</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58">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59">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B">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Collaborative approach to new business.</w:t>
            </w:r>
          </w:p>
        </w:tc>
      </w:tr>
      <w:tr>
        <w:trPr>
          <w:trHeight w:val="270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D">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4.2 The Supplier will respond to all Contracting Authority market engagement activities.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5F">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keepNext w:val="1"/>
              <w:tabs>
                <w:tab w:val="left" w:pos="1134"/>
              </w:tabs>
              <w:spacing w:after="0" w:before="24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61">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market engagement activity.</w:t>
            </w:r>
          </w:p>
        </w:tc>
      </w:tr>
      <w:tr>
        <w:trPr>
          <w:trHeight w:val="292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keepNext w:val="1"/>
              <w:tabs>
                <w:tab w:val="left" w:pos="1134"/>
              </w:tabs>
              <w:spacing w:after="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3">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4.3 The Supplier will provide the Contracting Authority and CCS with rationale behind any decision to make no-bid at Call off level. This will include feedback for the Contracting Authority to consider around their approach to service delivery and Invitation to Tender.</w:t>
            </w:r>
          </w:p>
          <w:p w:rsidR="00000000" w:rsidDel="00000000" w:rsidP="00000000" w:rsidRDefault="00000000" w:rsidRPr="00000000" w14:paraId="00000064">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66">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67">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9">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engagement activities.</w:t>
            </w:r>
          </w:p>
        </w:tc>
      </w:tr>
      <w:tr>
        <w:trPr>
          <w:trHeight w:val="292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keepNext w:val="1"/>
              <w:tabs>
                <w:tab w:val="left" w:pos="1134"/>
              </w:tabs>
              <w:spacing w:after="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B">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4.4 The Supplier will provide CCS with case study examples for all appropriate Call off contracts delivered, or other marketing collateral that may support new business development and/or sharing of industry best practice.</w:t>
            </w:r>
          </w:p>
          <w:p w:rsidR="00000000" w:rsidDel="00000000" w:rsidP="00000000" w:rsidRDefault="00000000" w:rsidRPr="00000000" w14:paraId="0000006C">
            <w:pPr>
              <w:keepNext w:val="1"/>
              <w:tabs>
                <w:tab w:val="left" w:pos="1134"/>
              </w:tabs>
              <w:spacing w:after="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6E">
            <w:pPr>
              <w:keepNext w:val="1"/>
              <w:tabs>
                <w:tab w:val="left" w:pos="1134"/>
              </w:tabs>
              <w:spacing w:after="0" w:before="240" w:line="276"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Annually </w:t>
            </w:r>
            <w:r w:rsidDel="00000000" w:rsidR="00000000" w:rsidRPr="00000000">
              <w:rPr>
                <w:rFonts w:ascii="Arial" w:cs="Arial" w:eastAsia="Arial" w:hAnsi="Arial"/>
                <w:sz w:val="24"/>
                <w:szCs w:val="24"/>
                <w:rtl w:val="0"/>
              </w:rPr>
              <w:t xml:space="preserve">(where appropriate with Contracting Authority approval)</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0">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case study and marketing materials.</w:t>
            </w:r>
          </w:p>
        </w:tc>
      </w:tr>
      <w:tr>
        <w:trPr>
          <w:trHeight w:val="26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keepNext w:val="1"/>
              <w:tabs>
                <w:tab w:val="left" w:pos="1134"/>
              </w:tabs>
              <w:spacing w:after="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2">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4.5 The Supplier will deliver added value to the CCS framework and Contracting Authorities via environmental, social and/or economic policies that have an impact on our citizens and/or the environment.</w:t>
            </w:r>
          </w:p>
          <w:p w:rsidR="00000000" w:rsidDel="00000000" w:rsidP="00000000" w:rsidRDefault="00000000" w:rsidRPr="00000000" w14:paraId="00000073">
            <w:pPr>
              <w:keepNext w:val="1"/>
              <w:tabs>
                <w:tab w:val="left" w:pos="1134"/>
              </w:tabs>
              <w:spacing w:after="0" w:before="24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75">
            <w:pPr>
              <w:keepNext w:val="1"/>
              <w:tabs>
                <w:tab w:val="left" w:pos="1134"/>
              </w:tabs>
              <w:spacing w:after="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77">
            <w:pPr>
              <w:keepNext w:val="1"/>
              <w:tabs>
                <w:tab w:val="left" w:pos="1134"/>
              </w:tabs>
              <w:spacing w:after="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social value activities.</w:t>
            </w:r>
          </w:p>
        </w:tc>
      </w:tr>
      <w:tr>
        <w:trPr>
          <w:trHeight w:val="975" w:hRule="atLeast"/>
        </w:trPr>
        <w:tc>
          <w:tcPr>
            <w:gridSpan w:val="3"/>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CONTRACT GOVERNANCE</w:t>
            </w:r>
          </w:p>
        </w:tc>
      </w:tr>
      <w:tr>
        <w:trPr>
          <w:trHeight w:val="23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B">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5.1 The supplier to attend all contract governance meetings, including any Authority forums where invited. The Supplier Framework owner, or suitable deputy, must be in attendance.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keepNext w:val="1"/>
              <w:tabs>
                <w:tab w:val="left" w:pos="1134"/>
              </w:tabs>
              <w:spacing w:after="240" w:before="240" w:line="27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keepNext w:val="1"/>
              <w:tabs>
                <w:tab w:val="left" w:pos="1134"/>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 performance for contract governance.</w:t>
            </w:r>
          </w:p>
        </w:tc>
      </w:tr>
    </w:tbl>
    <w:p w:rsidR="00000000" w:rsidDel="00000000" w:rsidP="00000000" w:rsidRDefault="00000000" w:rsidRPr="00000000" w14:paraId="0000007E">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8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8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82">
      <w:pPr>
        <w:keepNext w:val="0"/>
        <w:keepLines w:val="1"/>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83">
      <w:pPr>
        <w:keepNext w:val="1"/>
        <w:keepLines w:val="1"/>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8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8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8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8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8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8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8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8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8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8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8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8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9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91">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9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9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9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9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9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9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9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9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9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9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9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A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A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A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A4">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A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A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A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A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A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A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A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A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A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AF">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B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B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16 (What you must keep confidential) in the Core Terms, CCS shall be entitled to publish the results of any benchmarking of the Framework Prices to Other Contracting Authorities (subject to the other party entering into reasonable confidentiality undertakings).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B">
    <w:pPr>
      <w:spacing w:after="0" w:line="240" w:lineRule="auto"/>
      <w:jc w:val="both"/>
      <w:rPr/>
    </w:pPr>
    <w:r w:rsidDel="00000000" w:rsidR="00000000" w:rsidRPr="00000000">
      <w:rPr>
        <w:rFonts w:ascii="Arial" w:cs="Arial" w:eastAsia="Arial" w:hAnsi="Arial"/>
        <w:sz w:val="20"/>
        <w:szCs w:val="20"/>
        <w:rtl w:val="0"/>
      </w:rPr>
      <w:t xml:space="preserve">Model Version: v3.2</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bQhC3SLZUqiyl2rfnuviDS3b2A==">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2021-01-21T09:54:00Z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